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40B" w:rsidRPr="00993392" w:rsidRDefault="007B6EFC" w:rsidP="007B6EFC">
      <w:pPr>
        <w:pStyle w:val="Ttol"/>
        <w:rPr>
          <w:lang w:val="es-ES"/>
        </w:rPr>
      </w:pPr>
      <w:r w:rsidRPr="00993392">
        <w:rPr>
          <w:lang w:val="es-ES"/>
        </w:rPr>
        <w:t>5º encuentro de la Red de Oficinas y Agencias anticorrupción</w:t>
      </w:r>
    </w:p>
    <w:p w:rsidR="00A7340B" w:rsidRPr="00993392" w:rsidRDefault="007B6EFC" w:rsidP="00A7340B">
      <w:pPr>
        <w:pStyle w:val="Subttol"/>
        <w:rPr>
          <w:lang w:val="es-ES"/>
        </w:rPr>
      </w:pPr>
      <w:r w:rsidRPr="00993392">
        <w:rPr>
          <w:lang w:val="es-ES"/>
        </w:rPr>
        <w:t>18 de junio de 2020 | Reunión por videoconferencia</w:t>
      </w:r>
      <w:r w:rsidR="00993392">
        <w:rPr>
          <w:lang w:val="es-ES"/>
        </w:rPr>
        <w:t xml:space="preserve"> (</w:t>
      </w:r>
      <w:proofErr w:type="spellStart"/>
      <w:r w:rsidR="00993392">
        <w:rPr>
          <w:lang w:val="es-ES"/>
        </w:rPr>
        <w:t>Webex</w:t>
      </w:r>
      <w:proofErr w:type="spellEnd"/>
      <w:r w:rsidR="00993392">
        <w:rPr>
          <w:lang w:val="es-ES"/>
        </w:rPr>
        <w:t>)</w:t>
      </w:r>
    </w:p>
    <w:p w:rsidR="00163908" w:rsidRPr="00993392" w:rsidRDefault="007B6EFC" w:rsidP="00163908">
      <w:pPr>
        <w:pStyle w:val="Ttol2"/>
        <w:rPr>
          <w:lang w:val="es-ES"/>
        </w:rPr>
      </w:pPr>
      <w:r w:rsidRPr="00993392">
        <w:rPr>
          <w:lang w:val="es-ES"/>
        </w:rPr>
        <w:t>Programa</w:t>
      </w:r>
    </w:p>
    <w:p w:rsidR="00455FDA" w:rsidRPr="00993392" w:rsidRDefault="00455FDA" w:rsidP="00455FDA">
      <w:pPr>
        <w:rPr>
          <w:lang w:val="es-ES"/>
        </w:rPr>
      </w:pPr>
      <w:r w:rsidRPr="00993392">
        <w:rPr>
          <w:lang w:val="es-ES"/>
        </w:rPr>
        <w:t>A partir de las 9:00 h, pruebas de conexión de los participantes.</w:t>
      </w:r>
    </w:p>
    <w:p w:rsidR="00995E8E" w:rsidRPr="00993392" w:rsidRDefault="00995E8E" w:rsidP="00455FDA">
      <w:pPr>
        <w:pStyle w:val="Ttol3"/>
        <w:rPr>
          <w:lang w:val="es-ES"/>
        </w:rPr>
      </w:pPr>
      <w:r w:rsidRPr="00993392">
        <w:rPr>
          <w:lang w:val="es-ES"/>
        </w:rPr>
        <w:t>Primera parte</w:t>
      </w:r>
      <w:r w:rsidR="00455FDA" w:rsidRPr="00993392">
        <w:rPr>
          <w:lang w:val="es-ES"/>
        </w:rPr>
        <w:t>: Miembros de la Red</w:t>
      </w:r>
    </w:p>
    <w:p w:rsidR="00993392" w:rsidRPr="00993392" w:rsidRDefault="00995E8E" w:rsidP="00993392">
      <w:pPr>
        <w:tabs>
          <w:tab w:val="left" w:pos="851"/>
        </w:tabs>
        <w:ind w:left="851" w:hanging="851"/>
        <w:rPr>
          <w:lang w:val="es-ES"/>
        </w:rPr>
      </w:pPr>
      <w:r w:rsidRPr="00993392">
        <w:rPr>
          <w:lang w:val="es-ES"/>
        </w:rPr>
        <w:t>9:30 h</w:t>
      </w:r>
      <w:r w:rsidR="00455FDA" w:rsidRPr="00993392">
        <w:rPr>
          <w:lang w:val="es-ES"/>
        </w:rPr>
        <w:tab/>
      </w:r>
      <w:r w:rsidRPr="00993392">
        <w:rPr>
          <w:lang w:val="es-ES"/>
        </w:rPr>
        <w:t xml:space="preserve">Bienvenida a cargo de </w:t>
      </w:r>
      <w:r w:rsidR="00993392">
        <w:rPr>
          <w:lang w:val="es-ES"/>
        </w:rPr>
        <w:t xml:space="preserve">la </w:t>
      </w:r>
      <w:r w:rsidR="00993392" w:rsidRPr="00993392">
        <w:rPr>
          <w:lang w:val="es-ES"/>
        </w:rPr>
        <w:t xml:space="preserve">Sra. </w:t>
      </w:r>
      <w:r w:rsidR="00993392" w:rsidRPr="00993392">
        <w:rPr>
          <w:b/>
          <w:bCs/>
          <w:lang w:val="es-ES"/>
        </w:rPr>
        <w:t xml:space="preserve">Rosa María Sánchez </w:t>
      </w:r>
      <w:proofErr w:type="spellStart"/>
      <w:r w:rsidR="00993392" w:rsidRPr="00993392">
        <w:rPr>
          <w:b/>
          <w:bCs/>
          <w:lang w:val="es-ES"/>
        </w:rPr>
        <w:t>Sánchez</w:t>
      </w:r>
      <w:proofErr w:type="spellEnd"/>
      <w:r w:rsidR="00993392" w:rsidRPr="00993392">
        <w:rPr>
          <w:bCs/>
          <w:lang w:val="es-ES"/>
        </w:rPr>
        <w:t>,</w:t>
      </w:r>
      <w:r w:rsidR="00993392" w:rsidRPr="00993392">
        <w:rPr>
          <w:lang w:val="es-ES"/>
        </w:rPr>
        <w:t xml:space="preserve"> Directora de Servicios de Análisis del Ayuntamiento de Barcelona</w:t>
      </w:r>
      <w:r w:rsidR="00993392">
        <w:rPr>
          <w:lang w:val="es-ES"/>
        </w:rPr>
        <w:t xml:space="preserve"> y de la S</w:t>
      </w:r>
      <w:r w:rsidR="00993392" w:rsidRPr="00993392">
        <w:rPr>
          <w:lang w:val="es-ES"/>
        </w:rPr>
        <w:t xml:space="preserve">ra. </w:t>
      </w:r>
      <w:r w:rsidR="00993392" w:rsidRPr="00993392">
        <w:rPr>
          <w:b/>
          <w:bCs/>
          <w:lang w:val="es-ES"/>
        </w:rPr>
        <w:t>Gemma Calvet i Barot</w:t>
      </w:r>
      <w:r w:rsidR="00993392" w:rsidRPr="00993392">
        <w:rPr>
          <w:bCs/>
          <w:lang w:val="es-ES"/>
        </w:rPr>
        <w:t>,</w:t>
      </w:r>
      <w:r w:rsidR="00993392" w:rsidRPr="00993392">
        <w:rPr>
          <w:lang w:val="es-ES"/>
        </w:rPr>
        <w:t xml:space="preserve"> </w:t>
      </w:r>
      <w:proofErr w:type="gramStart"/>
      <w:r w:rsidR="00993392" w:rsidRPr="00993392">
        <w:rPr>
          <w:lang w:val="es-ES"/>
        </w:rPr>
        <w:t>Directora</w:t>
      </w:r>
      <w:proofErr w:type="gramEnd"/>
      <w:r w:rsidR="00993392" w:rsidRPr="00993392">
        <w:rPr>
          <w:lang w:val="es-ES"/>
        </w:rPr>
        <w:t xml:space="preserve"> de la Agencia de Transparencia del AMB</w:t>
      </w:r>
    </w:p>
    <w:p w:rsidR="00995E8E" w:rsidRDefault="00455FDA" w:rsidP="00455FDA">
      <w:pPr>
        <w:tabs>
          <w:tab w:val="left" w:pos="851"/>
        </w:tabs>
        <w:ind w:left="851" w:hanging="851"/>
        <w:rPr>
          <w:b/>
          <w:bCs/>
          <w:lang w:val="es-ES"/>
        </w:rPr>
      </w:pPr>
      <w:r w:rsidRPr="00993392">
        <w:rPr>
          <w:lang w:val="es-ES"/>
        </w:rPr>
        <w:t>9:45 h</w:t>
      </w:r>
      <w:r w:rsidRPr="00993392">
        <w:rPr>
          <w:lang w:val="es-ES"/>
        </w:rPr>
        <w:tab/>
      </w:r>
      <w:r w:rsidR="00995E8E" w:rsidRPr="00993392">
        <w:rPr>
          <w:b/>
          <w:bCs/>
          <w:lang w:val="es-ES"/>
        </w:rPr>
        <w:t>Análisis de la situación COVID19, del rol de nuestros organismos en el marco de contratación y en el buen gobierno. Valoraciones, iniciativas e incidencias</w:t>
      </w:r>
    </w:p>
    <w:p w:rsidR="00455FDA" w:rsidRDefault="00455FDA" w:rsidP="00455FDA">
      <w:pPr>
        <w:tabs>
          <w:tab w:val="left" w:pos="851"/>
        </w:tabs>
        <w:ind w:left="851" w:hanging="851"/>
        <w:rPr>
          <w:b/>
          <w:bCs/>
          <w:lang w:val="es-ES"/>
        </w:rPr>
      </w:pPr>
      <w:r w:rsidRPr="00993392">
        <w:rPr>
          <w:lang w:val="es-ES"/>
        </w:rPr>
        <w:t>1</w:t>
      </w:r>
      <w:r w:rsidR="003F031D">
        <w:rPr>
          <w:lang w:val="es-ES"/>
        </w:rPr>
        <w:t>0</w:t>
      </w:r>
      <w:r w:rsidRPr="00993392">
        <w:rPr>
          <w:lang w:val="es-ES"/>
        </w:rPr>
        <w:t>:</w:t>
      </w:r>
      <w:r w:rsidR="003F031D">
        <w:rPr>
          <w:lang w:val="es-ES"/>
        </w:rPr>
        <w:t>45</w:t>
      </w:r>
      <w:r w:rsidRPr="00993392">
        <w:rPr>
          <w:lang w:val="es-ES"/>
        </w:rPr>
        <w:t xml:space="preserve"> h</w:t>
      </w:r>
      <w:r w:rsidRPr="00993392">
        <w:rPr>
          <w:lang w:val="es-ES"/>
        </w:rPr>
        <w:tab/>
      </w:r>
      <w:r w:rsidRPr="00993392">
        <w:rPr>
          <w:b/>
          <w:bCs/>
          <w:lang w:val="es-ES"/>
        </w:rPr>
        <w:t>Estado e intercambio de información sobre la trasposición de la Directiva europea de protección de alertadores e iniciativas en marcha</w:t>
      </w:r>
    </w:p>
    <w:p w:rsidR="00995E8E" w:rsidRDefault="00455FDA" w:rsidP="00455FDA">
      <w:pPr>
        <w:tabs>
          <w:tab w:val="left" w:pos="851"/>
        </w:tabs>
        <w:ind w:left="851" w:hanging="851"/>
        <w:rPr>
          <w:b/>
          <w:bCs/>
          <w:lang w:val="es-ES"/>
        </w:rPr>
      </w:pPr>
      <w:r w:rsidRPr="00993392">
        <w:rPr>
          <w:lang w:val="es-ES"/>
        </w:rPr>
        <w:t>1</w:t>
      </w:r>
      <w:r w:rsidR="003F031D">
        <w:rPr>
          <w:lang w:val="es-ES"/>
        </w:rPr>
        <w:t>1</w:t>
      </w:r>
      <w:r w:rsidRPr="00993392">
        <w:rPr>
          <w:lang w:val="es-ES"/>
        </w:rPr>
        <w:t>:</w:t>
      </w:r>
      <w:r w:rsidR="003F031D">
        <w:rPr>
          <w:lang w:val="es-ES"/>
        </w:rPr>
        <w:t>45</w:t>
      </w:r>
      <w:r w:rsidRPr="00993392">
        <w:rPr>
          <w:lang w:val="es-ES"/>
        </w:rPr>
        <w:t xml:space="preserve"> h</w:t>
      </w:r>
      <w:r w:rsidRPr="00993392">
        <w:rPr>
          <w:lang w:val="es-ES"/>
        </w:rPr>
        <w:tab/>
      </w:r>
      <w:r w:rsidR="00995E8E" w:rsidRPr="00993392">
        <w:rPr>
          <w:b/>
          <w:bCs/>
          <w:lang w:val="es-ES"/>
        </w:rPr>
        <w:t>Posibilidad de una declaración conjunta en defensa de las políticas de integridad y del rol de los órganos de garantías de distinta escala, en defensa de las políticas de transparencia e integridad, como servicio público primordial, en especial respecto de la contratación de emergencia</w:t>
      </w:r>
    </w:p>
    <w:p w:rsidR="00995E8E" w:rsidRDefault="00455FDA" w:rsidP="00455FDA">
      <w:pPr>
        <w:tabs>
          <w:tab w:val="left" w:pos="851"/>
        </w:tabs>
        <w:ind w:left="851" w:hanging="851"/>
        <w:rPr>
          <w:b/>
          <w:bCs/>
          <w:lang w:val="es-ES"/>
        </w:rPr>
      </w:pPr>
      <w:r w:rsidRPr="00993392">
        <w:rPr>
          <w:lang w:val="es-ES"/>
        </w:rPr>
        <w:t>1</w:t>
      </w:r>
      <w:r w:rsidR="003F031D">
        <w:rPr>
          <w:lang w:val="es-ES"/>
        </w:rPr>
        <w:t>2</w:t>
      </w:r>
      <w:r w:rsidRPr="00993392">
        <w:rPr>
          <w:lang w:val="es-ES"/>
        </w:rPr>
        <w:t>:30 h</w:t>
      </w:r>
      <w:r w:rsidRPr="00993392">
        <w:rPr>
          <w:lang w:val="es-ES"/>
        </w:rPr>
        <w:tab/>
      </w:r>
      <w:r w:rsidRPr="00993392">
        <w:rPr>
          <w:b/>
          <w:bCs/>
          <w:lang w:val="es-ES"/>
        </w:rPr>
        <w:t>Líneas futuras de colaboración</w:t>
      </w:r>
      <w:r w:rsidR="00995E8E" w:rsidRPr="00993392">
        <w:rPr>
          <w:b/>
          <w:bCs/>
          <w:lang w:val="es-ES"/>
        </w:rPr>
        <w:t xml:space="preserve"> y planificación próxima reunión</w:t>
      </w:r>
    </w:p>
    <w:p w:rsidR="001949E6" w:rsidRPr="00993392" w:rsidRDefault="001949E6" w:rsidP="001949E6">
      <w:pPr>
        <w:tabs>
          <w:tab w:val="left" w:pos="851"/>
        </w:tabs>
        <w:ind w:left="851" w:hanging="851"/>
        <w:rPr>
          <w:lang w:val="es-ES"/>
        </w:rPr>
      </w:pPr>
      <w:r w:rsidRPr="00993392">
        <w:rPr>
          <w:lang w:val="es-ES"/>
        </w:rPr>
        <w:t>1</w:t>
      </w:r>
      <w:r w:rsidR="00643645">
        <w:rPr>
          <w:lang w:val="es-ES"/>
        </w:rPr>
        <w:t>2</w:t>
      </w:r>
      <w:r w:rsidRPr="00993392">
        <w:rPr>
          <w:lang w:val="es-ES"/>
        </w:rPr>
        <w:t>:</w:t>
      </w:r>
      <w:r w:rsidR="00643645">
        <w:rPr>
          <w:lang w:val="es-ES"/>
        </w:rPr>
        <w:t>4</w:t>
      </w:r>
      <w:r w:rsidRPr="00993392">
        <w:rPr>
          <w:lang w:val="es-ES"/>
        </w:rPr>
        <w:t>5 h</w:t>
      </w:r>
      <w:r w:rsidRPr="00993392">
        <w:rPr>
          <w:lang w:val="es-ES"/>
        </w:rPr>
        <w:tab/>
      </w:r>
      <w:r w:rsidRPr="00993392">
        <w:rPr>
          <w:b/>
          <w:bCs/>
          <w:lang w:val="es-ES"/>
        </w:rPr>
        <w:t>Pausa</w:t>
      </w:r>
    </w:p>
    <w:p w:rsidR="001949E6" w:rsidRPr="00993392" w:rsidRDefault="001949E6" w:rsidP="001949E6">
      <w:pPr>
        <w:pStyle w:val="Ttol3"/>
        <w:tabs>
          <w:tab w:val="left" w:pos="851"/>
        </w:tabs>
        <w:ind w:left="851" w:hanging="851"/>
        <w:rPr>
          <w:lang w:val="es-ES"/>
        </w:rPr>
      </w:pPr>
      <w:r w:rsidRPr="00993392">
        <w:rPr>
          <w:lang w:val="es-ES"/>
        </w:rPr>
        <w:t xml:space="preserve">Segunda parte: Miembros de la red </w:t>
      </w:r>
      <w:r>
        <w:rPr>
          <w:lang w:val="es-ES"/>
        </w:rPr>
        <w:t>e</w:t>
      </w:r>
      <w:r w:rsidRPr="00993392">
        <w:rPr>
          <w:lang w:val="es-ES"/>
        </w:rPr>
        <w:t xml:space="preserve"> invitados</w:t>
      </w:r>
    </w:p>
    <w:p w:rsidR="001949E6" w:rsidRDefault="001949E6" w:rsidP="00455FDA">
      <w:pPr>
        <w:tabs>
          <w:tab w:val="left" w:pos="851"/>
        </w:tabs>
        <w:ind w:left="851" w:hanging="851"/>
        <w:rPr>
          <w:lang w:val="es-ES"/>
        </w:rPr>
      </w:pPr>
      <w:r>
        <w:rPr>
          <w:lang w:val="es-ES"/>
        </w:rPr>
        <w:t>13:00 h</w:t>
      </w:r>
      <w:r>
        <w:rPr>
          <w:lang w:val="es-ES"/>
        </w:rPr>
        <w:tab/>
      </w:r>
      <w:r w:rsidRPr="001949E6">
        <w:rPr>
          <w:b/>
          <w:bCs/>
          <w:lang w:val="es-ES"/>
        </w:rPr>
        <w:t>Debate con actores sociales</w:t>
      </w:r>
    </w:p>
    <w:p w:rsidR="007B6EFC" w:rsidRDefault="00455FDA" w:rsidP="00455FDA">
      <w:pPr>
        <w:tabs>
          <w:tab w:val="left" w:pos="851"/>
        </w:tabs>
        <w:ind w:left="851" w:hanging="851"/>
        <w:rPr>
          <w:b/>
          <w:bCs/>
          <w:lang w:val="es-ES"/>
        </w:rPr>
      </w:pPr>
      <w:r w:rsidRPr="00993392">
        <w:rPr>
          <w:lang w:val="es-ES"/>
        </w:rPr>
        <w:t>14:00 h</w:t>
      </w:r>
      <w:r w:rsidRPr="00993392">
        <w:rPr>
          <w:lang w:val="es-ES"/>
        </w:rPr>
        <w:tab/>
      </w:r>
      <w:r w:rsidRPr="00993392">
        <w:rPr>
          <w:b/>
          <w:bCs/>
          <w:lang w:val="es-ES"/>
        </w:rPr>
        <w:t>Fin de la reunión</w:t>
      </w:r>
    </w:p>
    <w:p w:rsidR="003F031D" w:rsidRPr="00993392" w:rsidRDefault="003F031D" w:rsidP="00455FDA">
      <w:pPr>
        <w:tabs>
          <w:tab w:val="left" w:pos="851"/>
        </w:tabs>
        <w:ind w:left="851" w:hanging="851"/>
        <w:rPr>
          <w:lang w:val="es-ES"/>
        </w:rPr>
      </w:pPr>
    </w:p>
    <w:p w:rsidR="00163908" w:rsidRPr="00993392" w:rsidRDefault="007B6EFC" w:rsidP="00163908">
      <w:pPr>
        <w:pStyle w:val="Ttol2"/>
        <w:rPr>
          <w:lang w:val="es-ES"/>
        </w:rPr>
      </w:pPr>
      <w:r w:rsidRPr="00993392">
        <w:rPr>
          <w:lang w:val="es-ES"/>
        </w:rPr>
        <w:lastRenderedPageBreak/>
        <w:t>Participantes</w:t>
      </w:r>
    </w:p>
    <w:p w:rsidR="00DA4082" w:rsidRPr="00993392" w:rsidRDefault="00DA4082" w:rsidP="00DA4082">
      <w:pPr>
        <w:pStyle w:val="Ttol3"/>
        <w:rPr>
          <w:lang w:val="es-ES"/>
        </w:rPr>
      </w:pPr>
      <w:r w:rsidRPr="00993392">
        <w:rPr>
          <w:lang w:val="es-ES"/>
        </w:rPr>
        <w:t>En representación de la Red de Oficinas y Agencias anticorrupción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Sr. </w:t>
      </w:r>
      <w:r w:rsidRPr="00993392">
        <w:rPr>
          <w:b/>
          <w:bCs/>
          <w:lang w:val="es-ES"/>
        </w:rPr>
        <w:t xml:space="preserve">Miguel </w:t>
      </w:r>
      <w:proofErr w:type="spellStart"/>
      <w:r w:rsidRPr="00993392">
        <w:rPr>
          <w:b/>
          <w:bCs/>
          <w:lang w:val="es-ES"/>
        </w:rPr>
        <w:t>Angel</w:t>
      </w:r>
      <w:proofErr w:type="spellEnd"/>
      <w:r w:rsidRPr="00993392">
        <w:rPr>
          <w:b/>
          <w:bCs/>
          <w:lang w:val="es-ES"/>
        </w:rPr>
        <w:t xml:space="preserve"> Gimeno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</w:t>
      </w:r>
      <w:proofErr w:type="gramStart"/>
      <w:r w:rsidRPr="00993392">
        <w:rPr>
          <w:lang w:val="es-ES"/>
        </w:rPr>
        <w:t>Director</w:t>
      </w:r>
      <w:proofErr w:type="gramEnd"/>
      <w:r w:rsidRPr="00993392">
        <w:rPr>
          <w:lang w:val="es-ES"/>
        </w:rPr>
        <w:t xml:space="preserve"> de la Oficina Antifraude de Cataluña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 xml:space="preserve">Lourdes </w:t>
      </w:r>
      <w:proofErr w:type="spellStart"/>
      <w:r w:rsidRPr="00993392">
        <w:rPr>
          <w:b/>
          <w:bCs/>
          <w:lang w:val="es-ES"/>
        </w:rPr>
        <w:t>Parramon</w:t>
      </w:r>
      <w:proofErr w:type="spellEnd"/>
      <w:r w:rsidRPr="00993392">
        <w:rPr>
          <w:b/>
          <w:bCs/>
          <w:lang w:val="es-ES"/>
        </w:rPr>
        <w:t xml:space="preserve"> </w:t>
      </w:r>
      <w:proofErr w:type="spellStart"/>
      <w:r w:rsidRPr="00993392">
        <w:rPr>
          <w:b/>
          <w:bCs/>
          <w:lang w:val="es-ES"/>
        </w:rPr>
        <w:t>Bregolat</w:t>
      </w:r>
      <w:proofErr w:type="spellEnd"/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Jefa de Relaciones institucionales, Visibilidad y Participación de la Oficina Antifraude de Cataluña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Sr. </w:t>
      </w:r>
      <w:r w:rsidRPr="00993392">
        <w:rPr>
          <w:b/>
          <w:bCs/>
          <w:lang w:val="es-ES"/>
        </w:rPr>
        <w:t>Joan Llinares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</w:t>
      </w:r>
      <w:proofErr w:type="gramStart"/>
      <w:r w:rsidRPr="00993392">
        <w:rPr>
          <w:lang w:val="es-ES"/>
        </w:rPr>
        <w:t>Director</w:t>
      </w:r>
      <w:proofErr w:type="gramEnd"/>
      <w:r w:rsidRPr="00993392">
        <w:rPr>
          <w:lang w:val="es-ES"/>
        </w:rPr>
        <w:t xml:space="preserve"> de la Agencia Valenciana Antifraude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Sr. </w:t>
      </w:r>
      <w:r w:rsidRPr="00993392">
        <w:rPr>
          <w:b/>
          <w:bCs/>
          <w:lang w:val="es-ES"/>
        </w:rPr>
        <w:t>Gustavo Segura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Director de Análisis e Investigación de la Agencia Valenciana Antifraude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>Teresa Clemente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Directora de Asuntos Jurídicos de la Agencia Valenciana Antifraude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>Amalia López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</w:t>
      </w:r>
      <w:proofErr w:type="gramStart"/>
      <w:r w:rsidRPr="00993392">
        <w:rPr>
          <w:lang w:val="es-ES"/>
        </w:rPr>
        <w:t>Jefa</w:t>
      </w:r>
      <w:proofErr w:type="gramEnd"/>
      <w:r w:rsidRPr="00993392">
        <w:rPr>
          <w:lang w:val="es-ES"/>
        </w:rPr>
        <w:t xml:space="preserve"> de unidad de Relaciones Institucionales, Comunicación y Participación de la Agencia Valenciana Antifraude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Sr. </w:t>
      </w:r>
      <w:r w:rsidRPr="00993392">
        <w:rPr>
          <w:b/>
          <w:bCs/>
          <w:lang w:val="es-ES"/>
        </w:rPr>
        <w:t>Jaime Far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</w:t>
      </w:r>
      <w:proofErr w:type="gramStart"/>
      <w:r w:rsidRPr="00993392">
        <w:rPr>
          <w:lang w:val="es-ES"/>
        </w:rPr>
        <w:t>Director</w:t>
      </w:r>
      <w:proofErr w:type="gramEnd"/>
      <w:r w:rsidRPr="00993392">
        <w:rPr>
          <w:lang w:val="es-ES"/>
        </w:rPr>
        <w:t xml:space="preserve"> de la Oficina de prevención y lucha contra la corrupción de las Islas Baleares</w:t>
      </w:r>
    </w:p>
    <w:p w:rsidR="00993392" w:rsidRPr="003E79E3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3E79E3">
        <w:rPr>
          <w:lang w:val="es-ES"/>
        </w:rPr>
        <w:t xml:space="preserve">Sr. </w:t>
      </w:r>
      <w:r w:rsidRPr="003E79E3">
        <w:rPr>
          <w:b/>
          <w:bCs/>
          <w:lang w:val="es-ES"/>
        </w:rPr>
        <w:t xml:space="preserve">Constantino </w:t>
      </w:r>
      <w:proofErr w:type="spellStart"/>
      <w:r w:rsidRPr="003E79E3">
        <w:rPr>
          <w:b/>
          <w:bCs/>
          <w:lang w:val="es-ES"/>
        </w:rPr>
        <w:t>Carreiras</w:t>
      </w:r>
      <w:proofErr w:type="spellEnd"/>
      <w:r w:rsidRPr="003E79E3">
        <w:rPr>
          <w:b/>
          <w:bCs/>
          <w:lang w:val="es-ES"/>
        </w:rPr>
        <w:t xml:space="preserve"> Souto</w:t>
      </w:r>
      <w:r w:rsidRPr="003E79E3">
        <w:rPr>
          <w:bCs/>
          <w:lang w:val="es-ES"/>
        </w:rPr>
        <w:t>,</w:t>
      </w:r>
      <w:r w:rsidRPr="003E79E3">
        <w:rPr>
          <w:lang w:val="es-ES"/>
        </w:rPr>
        <w:t xml:space="preserve"> </w:t>
      </w:r>
      <w:proofErr w:type="spellStart"/>
      <w:r w:rsidRPr="003E79E3">
        <w:rPr>
          <w:lang w:val="es-ES"/>
        </w:rPr>
        <w:t>Conselleiro</w:t>
      </w:r>
      <w:proofErr w:type="spellEnd"/>
      <w:r w:rsidRPr="003E79E3">
        <w:rPr>
          <w:lang w:val="es-ES"/>
        </w:rPr>
        <w:t xml:space="preserve"> </w:t>
      </w:r>
      <w:proofErr w:type="spellStart"/>
      <w:r w:rsidRPr="003E79E3">
        <w:rPr>
          <w:lang w:val="es-ES"/>
        </w:rPr>
        <w:t>Maior</w:t>
      </w:r>
      <w:proofErr w:type="spellEnd"/>
      <w:r w:rsidRPr="003E79E3">
        <w:rPr>
          <w:lang w:val="es-ES"/>
        </w:rPr>
        <w:t xml:space="preserve"> del </w:t>
      </w:r>
      <w:proofErr w:type="spellStart"/>
      <w:r w:rsidRPr="003E79E3">
        <w:rPr>
          <w:lang w:val="es-ES"/>
        </w:rPr>
        <w:t>Consello</w:t>
      </w:r>
      <w:proofErr w:type="spellEnd"/>
      <w:r w:rsidRPr="003E79E3">
        <w:rPr>
          <w:lang w:val="es-ES"/>
        </w:rPr>
        <w:t xml:space="preserve"> de Contas de Galicia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Sr. </w:t>
      </w:r>
      <w:r w:rsidRPr="00993392">
        <w:rPr>
          <w:b/>
          <w:bCs/>
          <w:lang w:val="es-ES"/>
        </w:rPr>
        <w:t>Pedro Pacheco González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</w:t>
      </w:r>
      <w:proofErr w:type="gramStart"/>
      <w:r w:rsidRPr="00993392">
        <w:rPr>
          <w:lang w:val="es-ES"/>
        </w:rPr>
        <w:t>Presidente</w:t>
      </w:r>
      <w:proofErr w:type="gramEnd"/>
      <w:r w:rsidRPr="00993392">
        <w:rPr>
          <w:lang w:val="es-ES"/>
        </w:rPr>
        <w:t xml:space="preserve"> de la Audiencia de Cuentas de Canarias</w:t>
      </w:r>
    </w:p>
    <w:p w:rsidR="00190AEA" w:rsidRPr="00993392" w:rsidRDefault="00190AEA" w:rsidP="00190AEA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 xml:space="preserve">Mercedes Rodríguez </w:t>
      </w:r>
      <w:proofErr w:type="spellStart"/>
      <w:r w:rsidRPr="00993392">
        <w:rPr>
          <w:b/>
          <w:bCs/>
          <w:lang w:val="es-ES"/>
        </w:rPr>
        <w:t>Tarrida</w:t>
      </w:r>
      <w:proofErr w:type="spellEnd"/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Subdirectora General del Servicio Nacional de Coordinación Antifraude</w:t>
      </w:r>
      <w:r>
        <w:rPr>
          <w:lang w:val="es-ES"/>
        </w:rPr>
        <w:t xml:space="preserve"> </w:t>
      </w:r>
      <w:r w:rsidRPr="00993392">
        <w:rPr>
          <w:lang w:val="es-ES"/>
        </w:rPr>
        <w:t>de la Intervención General de la Administración del Estado</w:t>
      </w:r>
    </w:p>
    <w:p w:rsidR="00190AEA" w:rsidRPr="00993392" w:rsidRDefault="00190AEA" w:rsidP="00190AEA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 xml:space="preserve">María del Mar Rodríguez </w:t>
      </w:r>
      <w:proofErr w:type="spellStart"/>
      <w:r w:rsidRPr="00993392">
        <w:rPr>
          <w:b/>
          <w:bCs/>
          <w:lang w:val="es-ES"/>
        </w:rPr>
        <w:t>Polack</w:t>
      </w:r>
      <w:proofErr w:type="spellEnd"/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Auditora Jefa de Equipo en el Servicio Nacional de Coordinación Antifraude</w:t>
      </w:r>
      <w:r>
        <w:rPr>
          <w:lang w:val="es-ES"/>
        </w:rPr>
        <w:t xml:space="preserve"> </w:t>
      </w:r>
      <w:r w:rsidRPr="00993392">
        <w:rPr>
          <w:lang w:val="es-ES"/>
        </w:rPr>
        <w:t>de la Intervención General de la Administración del Estado</w:t>
      </w:r>
    </w:p>
    <w:p w:rsidR="00190AEA" w:rsidRPr="00993392" w:rsidRDefault="00190AEA" w:rsidP="00190AEA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>Amada de Juan Quirós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Vocal de la División de Supervisión de la Contratación y Relaciones Institucionales de la Oficina Independiente de Regulación y Supervisión de la Contratación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Sr. </w:t>
      </w:r>
      <w:r w:rsidRPr="00993392">
        <w:rPr>
          <w:b/>
          <w:bCs/>
          <w:lang w:val="es-ES"/>
        </w:rPr>
        <w:t xml:space="preserve">Carlos Granados </w:t>
      </w:r>
      <w:proofErr w:type="spellStart"/>
      <w:r w:rsidRPr="00993392">
        <w:rPr>
          <w:b/>
          <w:bCs/>
          <w:lang w:val="es-ES"/>
        </w:rPr>
        <w:t>Perez</w:t>
      </w:r>
      <w:proofErr w:type="spellEnd"/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Director General de la Oficina Municipal contra el Fraude y la Corrupción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 xml:space="preserve">Rosa María Sánchez </w:t>
      </w:r>
      <w:proofErr w:type="spellStart"/>
      <w:r w:rsidRPr="00993392">
        <w:rPr>
          <w:b/>
          <w:bCs/>
          <w:lang w:val="es-ES"/>
        </w:rPr>
        <w:t>Sánchez</w:t>
      </w:r>
      <w:proofErr w:type="spellEnd"/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Directora de Servicios de Análisis del Ayuntamiento de Barcelona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 xml:space="preserve">Eulalia Pardo de </w:t>
      </w:r>
      <w:proofErr w:type="spellStart"/>
      <w:r w:rsidRPr="00993392">
        <w:rPr>
          <w:b/>
          <w:bCs/>
          <w:lang w:val="es-ES"/>
        </w:rPr>
        <w:t>Atin</w:t>
      </w:r>
      <w:proofErr w:type="spellEnd"/>
      <w:r w:rsidRPr="00993392">
        <w:rPr>
          <w:b/>
          <w:bCs/>
          <w:lang w:val="es-ES"/>
        </w:rPr>
        <w:t xml:space="preserve"> </w:t>
      </w:r>
      <w:proofErr w:type="spellStart"/>
      <w:r w:rsidRPr="00993392">
        <w:rPr>
          <w:b/>
          <w:bCs/>
          <w:lang w:val="es-ES"/>
        </w:rPr>
        <w:t>Maresch</w:t>
      </w:r>
      <w:proofErr w:type="spellEnd"/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Letrada de la Dirección de Servicios de Análisis del Ayuntamiento de Barcelona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Sra. </w:t>
      </w:r>
      <w:r w:rsidRPr="00993392">
        <w:rPr>
          <w:b/>
          <w:bCs/>
          <w:lang w:val="es-ES"/>
        </w:rPr>
        <w:t>Gemma Calvet i Barot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</w:t>
      </w:r>
      <w:proofErr w:type="gramStart"/>
      <w:r w:rsidRPr="00993392">
        <w:rPr>
          <w:lang w:val="es-ES"/>
        </w:rPr>
        <w:t>Directora</w:t>
      </w:r>
      <w:proofErr w:type="gramEnd"/>
      <w:r w:rsidRPr="00993392">
        <w:rPr>
          <w:lang w:val="es-ES"/>
        </w:rPr>
        <w:t xml:space="preserve"> de la Agencia de Transparencia del AMB</w:t>
      </w:r>
    </w:p>
    <w:p w:rsidR="00993392" w:rsidRPr="00993392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993392">
        <w:rPr>
          <w:lang w:val="es-ES"/>
        </w:rPr>
        <w:t xml:space="preserve">Sr. </w:t>
      </w:r>
      <w:r w:rsidRPr="00993392">
        <w:rPr>
          <w:b/>
          <w:bCs/>
          <w:lang w:val="es-ES"/>
        </w:rPr>
        <w:t>Joan Cotxà Pagans</w:t>
      </w:r>
      <w:r w:rsidRPr="00993392">
        <w:rPr>
          <w:bCs/>
          <w:lang w:val="es-ES"/>
        </w:rPr>
        <w:t>,</w:t>
      </w:r>
      <w:r w:rsidRPr="00993392">
        <w:rPr>
          <w:lang w:val="es-ES"/>
        </w:rPr>
        <w:t xml:space="preserve"> Jefe de Sección de Publicidad Activa y Portal de Transparencia de la Agencia de Transparencia del AMB</w:t>
      </w:r>
    </w:p>
    <w:p w:rsidR="00993392" w:rsidRPr="00190AEA" w:rsidRDefault="00993392" w:rsidP="00993392">
      <w:pPr>
        <w:pStyle w:val="Ttol3"/>
        <w:rPr>
          <w:lang w:val="es-ES"/>
        </w:rPr>
      </w:pPr>
      <w:r w:rsidRPr="00190AEA">
        <w:rPr>
          <w:lang w:val="es-ES"/>
        </w:rPr>
        <w:t>Invitados</w:t>
      </w:r>
      <w:r w:rsidR="00BA0BC5" w:rsidRPr="00190AEA">
        <w:rPr>
          <w:lang w:val="es-ES"/>
        </w:rPr>
        <w:t xml:space="preserve"> de la sociedad civil</w:t>
      </w:r>
    </w:p>
    <w:p w:rsidR="00993392" w:rsidRPr="00190AEA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190AEA">
        <w:rPr>
          <w:lang w:val="es-ES"/>
        </w:rPr>
        <w:t xml:space="preserve">Sr. </w:t>
      </w:r>
      <w:r w:rsidRPr="00190AEA">
        <w:rPr>
          <w:b/>
          <w:bCs/>
          <w:lang w:val="es-ES"/>
        </w:rPr>
        <w:t>Adán Nieto Martín</w:t>
      </w:r>
      <w:r w:rsidRPr="00190AEA">
        <w:rPr>
          <w:bCs/>
          <w:lang w:val="es-ES"/>
        </w:rPr>
        <w:t>,</w:t>
      </w:r>
      <w:r w:rsidRPr="00190AEA">
        <w:rPr>
          <w:lang w:val="es-ES"/>
        </w:rPr>
        <w:t xml:space="preserve"> Catedrático de derecho penal de la Universidad de Castilla la Mancha</w:t>
      </w:r>
    </w:p>
    <w:p w:rsidR="00993392" w:rsidRPr="00190AEA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190AEA">
        <w:rPr>
          <w:lang w:val="es-ES"/>
        </w:rPr>
        <w:t xml:space="preserve">Sra. </w:t>
      </w:r>
      <w:r w:rsidRPr="00190AEA">
        <w:rPr>
          <w:b/>
          <w:bCs/>
          <w:lang w:val="es-ES"/>
        </w:rPr>
        <w:t>Eva Belmonte</w:t>
      </w:r>
      <w:r w:rsidRPr="00190AEA">
        <w:rPr>
          <w:bCs/>
          <w:lang w:val="es-ES"/>
        </w:rPr>
        <w:t>,</w:t>
      </w:r>
      <w:r w:rsidRPr="00190AEA">
        <w:rPr>
          <w:lang w:val="es-ES"/>
        </w:rPr>
        <w:t xml:space="preserve"> </w:t>
      </w:r>
      <w:proofErr w:type="spellStart"/>
      <w:r w:rsidRPr="00190AEA">
        <w:rPr>
          <w:lang w:val="es-ES"/>
        </w:rPr>
        <w:t>Co-directora</w:t>
      </w:r>
      <w:proofErr w:type="spellEnd"/>
      <w:r w:rsidRPr="00190AEA">
        <w:rPr>
          <w:lang w:val="es-ES"/>
        </w:rPr>
        <w:t xml:space="preserve"> de </w:t>
      </w:r>
      <w:proofErr w:type="spellStart"/>
      <w:r w:rsidRPr="00190AEA">
        <w:rPr>
          <w:lang w:val="es-ES"/>
        </w:rPr>
        <w:t>Civio</w:t>
      </w:r>
      <w:proofErr w:type="spellEnd"/>
    </w:p>
    <w:p w:rsidR="00993392" w:rsidRPr="00190AEA" w:rsidRDefault="00993392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190AEA">
        <w:rPr>
          <w:lang w:val="es-ES"/>
        </w:rPr>
        <w:t xml:space="preserve">Sr. </w:t>
      </w:r>
      <w:r w:rsidRPr="00190AEA">
        <w:rPr>
          <w:b/>
          <w:bCs/>
          <w:lang w:val="es-ES"/>
        </w:rPr>
        <w:t>Pedro Abellán</w:t>
      </w:r>
      <w:r w:rsidRPr="00190AEA">
        <w:rPr>
          <w:bCs/>
          <w:lang w:val="es-ES"/>
        </w:rPr>
        <w:t>,</w:t>
      </w:r>
      <w:r w:rsidRPr="00190AEA">
        <w:rPr>
          <w:lang w:val="es-ES"/>
        </w:rPr>
        <w:t xml:space="preserve"> Comunicación de Fundación Hay Derecho</w:t>
      </w:r>
    </w:p>
    <w:p w:rsidR="00135495" w:rsidRPr="00190AEA" w:rsidRDefault="00135495" w:rsidP="00993392">
      <w:pPr>
        <w:pStyle w:val="Pargrafdellista"/>
        <w:numPr>
          <w:ilvl w:val="0"/>
          <w:numId w:val="15"/>
        </w:numPr>
        <w:jc w:val="left"/>
        <w:rPr>
          <w:lang w:val="es-ES"/>
        </w:rPr>
      </w:pPr>
      <w:r w:rsidRPr="00190AEA">
        <w:rPr>
          <w:lang w:val="es-ES"/>
        </w:rPr>
        <w:t xml:space="preserve">Sra. </w:t>
      </w:r>
      <w:r w:rsidRPr="00190AEA">
        <w:rPr>
          <w:b/>
          <w:bCs/>
          <w:lang w:val="es-ES"/>
        </w:rPr>
        <w:t>Simona Levi</w:t>
      </w:r>
      <w:r w:rsidRPr="00190AEA">
        <w:rPr>
          <w:lang w:val="es-ES"/>
        </w:rPr>
        <w:t xml:space="preserve">, Fundadora de </w:t>
      </w:r>
      <w:proofErr w:type="spellStart"/>
      <w:r w:rsidRPr="00190AEA">
        <w:rPr>
          <w:lang w:val="es-ES"/>
        </w:rPr>
        <w:t>Xnet</w:t>
      </w:r>
      <w:proofErr w:type="spellEnd"/>
    </w:p>
    <w:p w:rsidR="00993392" w:rsidRPr="00993392" w:rsidRDefault="00993392" w:rsidP="00995E8E">
      <w:pPr>
        <w:rPr>
          <w:lang w:val="es-ES"/>
        </w:rPr>
      </w:pPr>
    </w:p>
    <w:sectPr w:rsidR="00993392" w:rsidRPr="00993392" w:rsidSect="00690BE4">
      <w:headerReference w:type="default" r:id="rId8"/>
      <w:footerReference w:type="default" r:id="rId9"/>
      <w:pgSz w:w="11906" w:h="16838"/>
      <w:pgMar w:top="2835" w:right="1588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87B" w:rsidRDefault="00F1287B" w:rsidP="00AF0505">
      <w:pPr>
        <w:spacing w:after="0" w:line="240" w:lineRule="auto"/>
      </w:pPr>
      <w:r>
        <w:separator/>
      </w:r>
    </w:p>
  </w:endnote>
  <w:endnote w:type="continuationSeparator" w:id="0">
    <w:p w:rsidR="00F1287B" w:rsidRDefault="00F1287B" w:rsidP="00AF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350148"/>
      <w:docPartObj>
        <w:docPartGallery w:val="Page Numbers (Bottom of Page)"/>
        <w:docPartUnique/>
      </w:docPartObj>
    </w:sdtPr>
    <w:sdtEndPr/>
    <w:sdtContent>
      <w:p w:rsidR="0075768D" w:rsidRDefault="0075768D" w:rsidP="00122713">
        <w:pPr>
          <w:pStyle w:val="Peu"/>
          <w:jc w:val="right"/>
        </w:pPr>
        <w:r w:rsidRPr="0075768D">
          <w:rPr>
            <w:rFonts w:asciiTheme="minorHAnsi" w:hAnsiTheme="minorHAnsi" w:cstheme="minorHAnsi"/>
            <w:color w:val="auto"/>
            <w:sz w:val="21"/>
            <w:szCs w:val="21"/>
          </w:rPr>
          <w:fldChar w:fldCharType="begin"/>
        </w:r>
        <w:r w:rsidRPr="0075768D">
          <w:rPr>
            <w:rFonts w:asciiTheme="minorHAnsi" w:hAnsiTheme="minorHAnsi" w:cstheme="minorHAnsi"/>
            <w:color w:val="auto"/>
            <w:sz w:val="21"/>
            <w:szCs w:val="21"/>
          </w:rPr>
          <w:instrText>PAGE   \* MERGEFORMAT</w:instrText>
        </w:r>
        <w:r w:rsidRPr="0075768D">
          <w:rPr>
            <w:rFonts w:asciiTheme="minorHAnsi" w:hAnsiTheme="minorHAnsi" w:cstheme="minorHAnsi"/>
            <w:color w:val="auto"/>
            <w:sz w:val="21"/>
            <w:szCs w:val="21"/>
          </w:rPr>
          <w:fldChar w:fldCharType="separate"/>
        </w:r>
        <w:r w:rsidR="00774E4F" w:rsidRPr="00774E4F">
          <w:rPr>
            <w:rFonts w:asciiTheme="minorHAnsi" w:hAnsiTheme="minorHAnsi" w:cstheme="minorHAnsi"/>
            <w:noProof/>
            <w:color w:val="auto"/>
            <w:sz w:val="21"/>
            <w:szCs w:val="21"/>
            <w:lang w:val="es-ES"/>
          </w:rPr>
          <w:t>1</w:t>
        </w:r>
        <w:r w:rsidRPr="0075768D">
          <w:rPr>
            <w:rFonts w:asciiTheme="minorHAnsi" w:hAnsiTheme="minorHAnsi" w:cstheme="minorHAnsi"/>
            <w:color w:val="auto"/>
            <w:sz w:val="21"/>
            <w:szCs w:val="21"/>
          </w:rPr>
          <w:fldChar w:fldCharType="end"/>
        </w:r>
      </w:p>
    </w:sdtContent>
  </w:sdt>
  <w:p w:rsidR="0066604E" w:rsidRDefault="0066604E" w:rsidP="00907B3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87B" w:rsidRDefault="00F1287B" w:rsidP="00AF0505">
      <w:pPr>
        <w:spacing w:after="0" w:line="240" w:lineRule="auto"/>
      </w:pPr>
      <w:r>
        <w:separator/>
      </w:r>
    </w:p>
  </w:footnote>
  <w:footnote w:type="continuationSeparator" w:id="0">
    <w:p w:rsidR="00F1287B" w:rsidRDefault="00F1287B" w:rsidP="00AF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5EA7" w:rsidRDefault="00AF0505" w:rsidP="009A5EA7">
    <w:pPr>
      <w:pStyle w:val="Capalera"/>
    </w:pPr>
    <w:r>
      <w:rPr>
        <w:noProof/>
        <w:lang w:val="es-ES" w:eastAsia="es-ES"/>
      </w:rPr>
      <w:drawing>
        <wp:inline distT="0" distB="0" distL="0" distR="0" wp14:anchorId="13E4765E" wp14:editId="3E9DC359">
          <wp:extent cx="2176682" cy="48600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_AgenciaTransparenci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6682" cy="48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B6EFC">
      <w:tab/>
    </w:r>
    <w:r w:rsidR="007B6EFC">
      <w:tab/>
    </w:r>
    <w:r w:rsidR="007B6EFC">
      <w:rPr>
        <w:noProof/>
      </w:rPr>
      <w:drawing>
        <wp:inline distT="0" distB="0" distL="0" distR="0">
          <wp:extent cx="1775268" cy="486000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ntamentBCN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268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96B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505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326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661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89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ACD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24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2F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2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C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F61F2"/>
    <w:multiLevelType w:val="multilevel"/>
    <w:tmpl w:val="627213B4"/>
    <w:numStyleLink w:val="EstiloConvietasLatinaArialIzquierda063cmSangrafra"/>
  </w:abstractNum>
  <w:abstractNum w:abstractNumId="11" w15:restartNumberingAfterBreak="0">
    <w:nsid w:val="145533B3"/>
    <w:multiLevelType w:val="multilevel"/>
    <w:tmpl w:val="627213B4"/>
    <w:numStyleLink w:val="EstiloConvietasLatinaArialIzquierda063cmSangrafra"/>
  </w:abstractNum>
  <w:abstractNum w:abstractNumId="12" w15:restartNumberingAfterBreak="0">
    <w:nsid w:val="27AF2A45"/>
    <w:multiLevelType w:val="multilevel"/>
    <w:tmpl w:val="627213B4"/>
    <w:styleLink w:val="EstiloConvietasLatinaArialIzquierda063cmSangrafra"/>
    <w:lvl w:ilvl="0">
      <w:start w:val="1"/>
      <w:numFmt w:val="bullet"/>
      <w:lvlText w:val="—"/>
      <w:lvlJc w:val="left"/>
      <w:pPr>
        <w:ind w:left="284" w:hanging="284"/>
      </w:pPr>
      <w:rPr>
        <w:rFonts w:ascii="Arial" w:hAnsi="Arial" w:hint="default"/>
        <w:sz w:val="21"/>
      </w:rPr>
    </w:lvl>
    <w:lvl w:ilvl="1">
      <w:start w:val="1"/>
      <w:numFmt w:val="bullet"/>
      <w:lvlText w:val="—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4820" w:hanging="284"/>
      </w:pPr>
      <w:rPr>
        <w:rFonts w:ascii="Arial" w:hAnsi="Arial" w:hint="default"/>
      </w:rPr>
    </w:lvl>
  </w:abstractNum>
  <w:abstractNum w:abstractNumId="13" w15:restartNumberingAfterBreak="0">
    <w:nsid w:val="30045361"/>
    <w:multiLevelType w:val="hybridMultilevel"/>
    <w:tmpl w:val="54F83C86"/>
    <w:lvl w:ilvl="0" w:tplc="72689C0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B7C6C"/>
    <w:multiLevelType w:val="multilevel"/>
    <w:tmpl w:val="627213B4"/>
    <w:numStyleLink w:val="EstiloConvietasLatinaArialIzquierda063cmSangrafra"/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C"/>
    <w:rsid w:val="000825FF"/>
    <w:rsid w:val="00083D9D"/>
    <w:rsid w:val="00100157"/>
    <w:rsid w:val="00122713"/>
    <w:rsid w:val="00135495"/>
    <w:rsid w:val="00163908"/>
    <w:rsid w:val="00174DFE"/>
    <w:rsid w:val="00190AEA"/>
    <w:rsid w:val="001949E6"/>
    <w:rsid w:val="00221112"/>
    <w:rsid w:val="0024021B"/>
    <w:rsid w:val="00292E98"/>
    <w:rsid w:val="002B1C56"/>
    <w:rsid w:val="00306557"/>
    <w:rsid w:val="00340C87"/>
    <w:rsid w:val="003A31DD"/>
    <w:rsid w:val="003E58BA"/>
    <w:rsid w:val="003E79E3"/>
    <w:rsid w:val="003F031D"/>
    <w:rsid w:val="00451952"/>
    <w:rsid w:val="00455FDA"/>
    <w:rsid w:val="0045645A"/>
    <w:rsid w:val="004D0D33"/>
    <w:rsid w:val="004D4B04"/>
    <w:rsid w:val="0055320E"/>
    <w:rsid w:val="005B7B9A"/>
    <w:rsid w:val="005E54DB"/>
    <w:rsid w:val="00635425"/>
    <w:rsid w:val="00643645"/>
    <w:rsid w:val="0066604E"/>
    <w:rsid w:val="00690BE4"/>
    <w:rsid w:val="006D013A"/>
    <w:rsid w:val="00714DAA"/>
    <w:rsid w:val="0075549E"/>
    <w:rsid w:val="0075768D"/>
    <w:rsid w:val="00774E4F"/>
    <w:rsid w:val="00780BC8"/>
    <w:rsid w:val="007928A3"/>
    <w:rsid w:val="007A2C9D"/>
    <w:rsid w:val="007B6EFC"/>
    <w:rsid w:val="007D5D1C"/>
    <w:rsid w:val="00836904"/>
    <w:rsid w:val="008A0630"/>
    <w:rsid w:val="008C2FC9"/>
    <w:rsid w:val="008E2745"/>
    <w:rsid w:val="008E3254"/>
    <w:rsid w:val="00907B31"/>
    <w:rsid w:val="00993392"/>
    <w:rsid w:val="00995E8E"/>
    <w:rsid w:val="009A5EA7"/>
    <w:rsid w:val="009F325A"/>
    <w:rsid w:val="00A41D75"/>
    <w:rsid w:val="00A7340B"/>
    <w:rsid w:val="00AF0505"/>
    <w:rsid w:val="00B67652"/>
    <w:rsid w:val="00B8541C"/>
    <w:rsid w:val="00BA0BC5"/>
    <w:rsid w:val="00BC7123"/>
    <w:rsid w:val="00BF6BE3"/>
    <w:rsid w:val="00C2227A"/>
    <w:rsid w:val="00C269BA"/>
    <w:rsid w:val="00C701CE"/>
    <w:rsid w:val="00C855FD"/>
    <w:rsid w:val="00CA2D76"/>
    <w:rsid w:val="00CC53E4"/>
    <w:rsid w:val="00D243C5"/>
    <w:rsid w:val="00D30264"/>
    <w:rsid w:val="00DA4082"/>
    <w:rsid w:val="00DD556C"/>
    <w:rsid w:val="00DF0694"/>
    <w:rsid w:val="00E058FF"/>
    <w:rsid w:val="00E86C60"/>
    <w:rsid w:val="00F1287B"/>
    <w:rsid w:val="00FA5366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61F2"/>
  <w15:chartTrackingRefBased/>
  <w15:docId w15:val="{BD6C6360-7A16-4096-B1B2-81B4C76B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FF"/>
    <w:pPr>
      <w:spacing w:after="320" w:line="276" w:lineRule="auto"/>
      <w:jc w:val="both"/>
    </w:pPr>
    <w:rPr>
      <w:sz w:val="21"/>
    </w:rPr>
  </w:style>
  <w:style w:type="paragraph" w:styleId="Ttol1">
    <w:name w:val="heading 1"/>
    <w:basedOn w:val="Normal"/>
    <w:next w:val="Normal"/>
    <w:link w:val="Ttol1Car"/>
    <w:uiPriority w:val="9"/>
    <w:qFormat/>
    <w:rsid w:val="00E058FF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caps/>
      <w:color w:val="58585A" w:themeColor="text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058FF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color w:val="AA190E" w:themeColor="accent1" w:themeShade="BF"/>
      <w:sz w:val="28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058FF"/>
    <w:pPr>
      <w:keepNext/>
      <w:keepLines/>
      <w:spacing w:before="320" w:after="160"/>
      <w:outlineLvl w:val="2"/>
    </w:pPr>
    <w:rPr>
      <w:rFonts w:asciiTheme="majorHAnsi" w:eastAsiaTheme="majorEastAsia" w:hAnsiTheme="majorHAnsi" w:cstheme="majorBidi"/>
      <w:b/>
      <w:caps/>
      <w:color w:val="58585A" w:themeColor="text2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E058FF"/>
    <w:pPr>
      <w:keepNext/>
      <w:keepLines/>
      <w:spacing w:before="320" w:after="160"/>
      <w:outlineLvl w:val="3"/>
    </w:pPr>
    <w:rPr>
      <w:rFonts w:asciiTheme="majorHAnsi" w:eastAsiaTheme="majorEastAsia" w:hAnsiTheme="majorHAnsi" w:cstheme="majorBidi"/>
      <w:b/>
      <w:iCs/>
      <w:color w:val="58585A" w:themeColor="text2"/>
      <w:sz w:val="24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E058FF"/>
    <w:pPr>
      <w:keepNext/>
      <w:keepLines/>
      <w:spacing w:before="320" w:after="160"/>
      <w:outlineLvl w:val="4"/>
    </w:pPr>
    <w:rPr>
      <w:rFonts w:asciiTheme="majorHAnsi" w:eastAsiaTheme="majorEastAsia" w:hAnsiTheme="majorHAnsi" w:cstheme="majorBidi"/>
      <w:caps/>
      <w:color w:val="58585A" w:themeColor="text2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E058FF"/>
    <w:pPr>
      <w:keepNext/>
      <w:keepLines/>
      <w:spacing w:before="320" w:after="160"/>
      <w:outlineLvl w:val="5"/>
    </w:pPr>
    <w:rPr>
      <w:rFonts w:asciiTheme="majorHAnsi" w:eastAsiaTheme="majorEastAsia" w:hAnsiTheme="majorHAnsi" w:cstheme="majorBidi"/>
      <w:b/>
      <w:color w:val="AA190E" w:themeColor="accent1" w:themeShade="B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E058FF"/>
    <w:pPr>
      <w:keepNext/>
      <w:keepLines/>
      <w:spacing w:before="320" w:after="160"/>
      <w:outlineLvl w:val="6"/>
    </w:pPr>
    <w:rPr>
      <w:rFonts w:asciiTheme="majorHAnsi" w:eastAsiaTheme="majorEastAsia" w:hAnsiTheme="majorHAnsi" w:cstheme="majorBidi"/>
      <w:iCs/>
      <w:caps/>
      <w:color w:val="AA190E" w:themeColor="accent1" w:themeShade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E058FF"/>
    <w:pPr>
      <w:keepNext/>
      <w:keepLines/>
      <w:spacing w:before="320" w:after="160"/>
      <w:outlineLvl w:val="7"/>
    </w:pPr>
    <w:rPr>
      <w:rFonts w:asciiTheme="majorHAnsi" w:eastAsiaTheme="majorEastAsia" w:hAnsiTheme="majorHAnsi" w:cstheme="majorBidi"/>
      <w:b/>
      <w:color w:val="58585A" w:themeColor="text2"/>
      <w:szCs w:val="21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E058FF"/>
    <w:pPr>
      <w:keepNext/>
      <w:keepLines/>
      <w:spacing w:before="320" w:after="160"/>
      <w:outlineLvl w:val="8"/>
    </w:pPr>
    <w:rPr>
      <w:rFonts w:asciiTheme="majorHAnsi" w:eastAsiaTheme="majorEastAsia" w:hAnsiTheme="majorHAnsi" w:cstheme="majorBidi"/>
      <w:iCs/>
      <w:color w:val="58585A" w:themeColor="text2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74E4F"/>
    <w:pPr>
      <w:tabs>
        <w:tab w:val="center" w:pos="4309"/>
        <w:tab w:val="right" w:pos="8618"/>
      </w:tabs>
      <w:spacing w:after="0" w:line="240" w:lineRule="auto"/>
      <w:ind w:left="-454"/>
    </w:pPr>
  </w:style>
  <w:style w:type="character" w:customStyle="1" w:styleId="CapaleraCar">
    <w:name w:val="Capçalera Car"/>
    <w:basedOn w:val="Lletraperdefectedelpargraf"/>
    <w:link w:val="Capalera"/>
    <w:uiPriority w:val="99"/>
    <w:rsid w:val="00774E4F"/>
    <w:rPr>
      <w:sz w:val="21"/>
    </w:rPr>
  </w:style>
  <w:style w:type="paragraph" w:styleId="Peu">
    <w:name w:val="footer"/>
    <w:basedOn w:val="Normal"/>
    <w:link w:val="PeuCar"/>
    <w:uiPriority w:val="99"/>
    <w:unhideWhenUsed/>
    <w:rsid w:val="00907B31"/>
    <w:pPr>
      <w:tabs>
        <w:tab w:val="center" w:pos="4309"/>
        <w:tab w:val="right" w:pos="8618"/>
      </w:tabs>
      <w:spacing w:after="0" w:line="240" w:lineRule="auto"/>
    </w:pPr>
    <w:rPr>
      <w:rFonts w:asciiTheme="majorHAnsi" w:hAnsiTheme="majorHAnsi"/>
      <w:color w:val="58585A" w:themeColor="text2"/>
      <w:sz w:val="20"/>
    </w:rPr>
  </w:style>
  <w:style w:type="character" w:customStyle="1" w:styleId="PeuCar">
    <w:name w:val="Peu Car"/>
    <w:basedOn w:val="Lletraperdefectedelpargraf"/>
    <w:link w:val="Peu"/>
    <w:uiPriority w:val="99"/>
    <w:rsid w:val="00907B31"/>
    <w:rPr>
      <w:rFonts w:asciiTheme="majorHAnsi" w:hAnsiTheme="majorHAnsi"/>
      <w:color w:val="58585A" w:themeColor="text2"/>
      <w:sz w:val="20"/>
    </w:rPr>
  </w:style>
  <w:style w:type="paragraph" w:styleId="Senseespaiat">
    <w:name w:val="No Spacing"/>
    <w:uiPriority w:val="1"/>
    <w:qFormat/>
    <w:rsid w:val="00E058FF"/>
    <w:pPr>
      <w:spacing w:after="0" w:line="276" w:lineRule="auto"/>
    </w:pPr>
    <w:rPr>
      <w:sz w:val="21"/>
    </w:rPr>
  </w:style>
  <w:style w:type="paragraph" w:customStyle="1" w:styleId="Adrea">
    <w:name w:val="Adreça"/>
    <w:basedOn w:val="Senseespaiat"/>
    <w:rsid w:val="00E86C60"/>
    <w:pPr>
      <w:ind w:left="4820"/>
    </w:pPr>
    <w:rPr>
      <w:rFonts w:eastAsia="Times New Roman" w:cs="Times New Roman"/>
      <w:szCs w:val="20"/>
    </w:rPr>
  </w:style>
  <w:style w:type="paragraph" w:customStyle="1" w:styleId="Adreadestinatari">
    <w:name w:val="Adreça destinatari"/>
    <w:basedOn w:val="Adrea"/>
    <w:rsid w:val="00100157"/>
    <w:rPr>
      <w:b/>
      <w:bCs/>
      <w:caps/>
    </w:rPr>
  </w:style>
  <w:style w:type="paragraph" w:customStyle="1" w:styleId="Adreacrrec">
    <w:name w:val="Adreça càrrec"/>
    <w:basedOn w:val="Adrea"/>
    <w:rsid w:val="00100157"/>
    <w:rPr>
      <w:b/>
      <w:bCs/>
    </w:rPr>
  </w:style>
  <w:style w:type="character" w:customStyle="1" w:styleId="Ttol1Car">
    <w:name w:val="Títol 1 Car"/>
    <w:basedOn w:val="Lletraperdefectedelpargraf"/>
    <w:link w:val="Ttol1"/>
    <w:uiPriority w:val="9"/>
    <w:rsid w:val="00E058FF"/>
    <w:rPr>
      <w:rFonts w:asciiTheme="majorHAnsi" w:eastAsiaTheme="majorEastAsia" w:hAnsiTheme="majorHAnsi" w:cstheme="majorBidi"/>
      <w:b/>
      <w:caps/>
      <w:color w:val="58585A" w:themeColor="text2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E058FF"/>
    <w:rPr>
      <w:rFonts w:asciiTheme="majorHAnsi" w:eastAsiaTheme="majorEastAsia" w:hAnsiTheme="majorHAnsi" w:cstheme="majorBidi"/>
      <w:b/>
      <w:color w:val="AA190E" w:themeColor="accent1" w:themeShade="BF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E058FF"/>
    <w:rPr>
      <w:rFonts w:asciiTheme="majorHAnsi" w:eastAsiaTheme="majorEastAsia" w:hAnsiTheme="majorHAnsi" w:cstheme="majorBidi"/>
      <w:b/>
      <w:caps/>
      <w:color w:val="58585A" w:themeColor="text2"/>
      <w:sz w:val="24"/>
      <w:szCs w:val="24"/>
    </w:rPr>
  </w:style>
  <w:style w:type="character" w:customStyle="1" w:styleId="Ttol4Car">
    <w:name w:val="Títol 4 Car"/>
    <w:basedOn w:val="Lletraperdefectedelpargraf"/>
    <w:link w:val="Ttol4"/>
    <w:uiPriority w:val="9"/>
    <w:rsid w:val="00E058FF"/>
    <w:rPr>
      <w:rFonts w:asciiTheme="majorHAnsi" w:eastAsiaTheme="majorEastAsia" w:hAnsiTheme="majorHAnsi" w:cstheme="majorBidi"/>
      <w:b/>
      <w:iCs/>
      <w:color w:val="58585A" w:themeColor="text2"/>
      <w:sz w:val="24"/>
    </w:rPr>
  </w:style>
  <w:style w:type="character" w:customStyle="1" w:styleId="Ttol5Car">
    <w:name w:val="Títol 5 Car"/>
    <w:basedOn w:val="Lletraperdefectedelpargraf"/>
    <w:link w:val="Ttol5"/>
    <w:uiPriority w:val="9"/>
    <w:rsid w:val="00E058FF"/>
    <w:rPr>
      <w:rFonts w:asciiTheme="majorHAnsi" w:eastAsiaTheme="majorEastAsia" w:hAnsiTheme="majorHAnsi" w:cstheme="majorBidi"/>
      <w:caps/>
      <w:color w:val="58585A" w:themeColor="text2"/>
      <w:sz w:val="21"/>
    </w:rPr>
  </w:style>
  <w:style w:type="character" w:customStyle="1" w:styleId="Ttol6Car">
    <w:name w:val="Títol 6 Car"/>
    <w:basedOn w:val="Lletraperdefectedelpargraf"/>
    <w:link w:val="Ttol6"/>
    <w:uiPriority w:val="9"/>
    <w:rsid w:val="00E058FF"/>
    <w:rPr>
      <w:rFonts w:asciiTheme="majorHAnsi" w:eastAsiaTheme="majorEastAsia" w:hAnsiTheme="majorHAnsi" w:cstheme="majorBidi"/>
      <w:b/>
      <w:color w:val="AA190E" w:themeColor="accent1" w:themeShade="BF"/>
      <w:sz w:val="21"/>
    </w:rPr>
  </w:style>
  <w:style w:type="character" w:customStyle="1" w:styleId="Ttol7Car">
    <w:name w:val="Títol 7 Car"/>
    <w:basedOn w:val="Lletraperdefectedelpargraf"/>
    <w:link w:val="Ttol7"/>
    <w:uiPriority w:val="9"/>
    <w:rsid w:val="00E058FF"/>
    <w:rPr>
      <w:rFonts w:asciiTheme="majorHAnsi" w:eastAsiaTheme="majorEastAsia" w:hAnsiTheme="majorHAnsi" w:cstheme="majorBidi"/>
      <w:iCs/>
      <w:caps/>
      <w:color w:val="AA190E" w:themeColor="accent1" w:themeShade="BF"/>
      <w:sz w:val="21"/>
    </w:rPr>
  </w:style>
  <w:style w:type="character" w:customStyle="1" w:styleId="Ttol8Car">
    <w:name w:val="Títol 8 Car"/>
    <w:basedOn w:val="Lletraperdefectedelpargraf"/>
    <w:link w:val="Ttol8"/>
    <w:uiPriority w:val="9"/>
    <w:rsid w:val="00E058FF"/>
    <w:rPr>
      <w:rFonts w:asciiTheme="majorHAnsi" w:eastAsiaTheme="majorEastAsia" w:hAnsiTheme="majorHAnsi" w:cstheme="majorBidi"/>
      <w:b/>
      <w:color w:val="58585A" w:themeColor="text2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rsid w:val="00E058FF"/>
    <w:rPr>
      <w:rFonts w:asciiTheme="majorHAnsi" w:eastAsiaTheme="majorEastAsia" w:hAnsiTheme="majorHAnsi" w:cstheme="majorBidi"/>
      <w:iCs/>
      <w:color w:val="58585A" w:themeColor="text2"/>
      <w:sz w:val="21"/>
      <w:szCs w:val="21"/>
    </w:rPr>
  </w:style>
  <w:style w:type="paragraph" w:customStyle="1" w:styleId="Signatari">
    <w:name w:val="Signatari"/>
    <w:basedOn w:val="Senseespaiat"/>
    <w:rsid w:val="0024021B"/>
    <w:rPr>
      <w:b/>
      <w:bCs/>
    </w:rPr>
  </w:style>
  <w:style w:type="character" w:styleId="Enlla">
    <w:name w:val="Hyperlink"/>
    <w:basedOn w:val="Lletraperdefectedelpargraf"/>
    <w:uiPriority w:val="99"/>
    <w:unhideWhenUsed/>
    <w:rsid w:val="0066604E"/>
    <w:rPr>
      <w:color w:val="878789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86C60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93392"/>
    <w:pPr>
      <w:spacing w:after="120"/>
      <w:ind w:left="720"/>
    </w:pPr>
  </w:style>
  <w:style w:type="numbering" w:customStyle="1" w:styleId="EstiloConvietasLatinaArialIzquierda063cmSangrafra">
    <w:name w:val="Estilo Con viñetas (Latina) Arial Izquierda:  063 cm Sangría fra..."/>
    <w:basedOn w:val="Sensellista"/>
    <w:rsid w:val="00340C87"/>
    <w:pPr>
      <w:numPr>
        <w:numId w:val="2"/>
      </w:numPr>
    </w:pPr>
  </w:style>
  <w:style w:type="paragraph" w:styleId="Ttol">
    <w:name w:val="Title"/>
    <w:basedOn w:val="Normal"/>
    <w:next w:val="Normal"/>
    <w:link w:val="TtolCar"/>
    <w:uiPriority w:val="10"/>
    <w:qFormat/>
    <w:rsid w:val="00455FDA"/>
    <w:pPr>
      <w:pageBreakBefore/>
      <w:pBdr>
        <w:bottom w:val="single" w:sz="12" w:space="1" w:color="E42313" w:themeColor="accent1"/>
      </w:pBdr>
      <w:spacing w:after="160" w:line="240" w:lineRule="auto"/>
      <w:contextualSpacing/>
      <w:jc w:val="left"/>
      <w:outlineLvl w:val="0"/>
    </w:pPr>
    <w:rPr>
      <w:rFonts w:asciiTheme="majorHAnsi" w:eastAsiaTheme="majorEastAsia" w:hAnsiTheme="majorHAnsi" w:cstheme="majorBidi"/>
      <w:color w:val="58585A" w:themeColor="text2"/>
      <w:spacing w:val="-20"/>
      <w:w w:val="99"/>
      <w:kern w:val="28"/>
      <w:sz w:val="40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455FDA"/>
    <w:rPr>
      <w:rFonts w:asciiTheme="majorHAnsi" w:eastAsiaTheme="majorEastAsia" w:hAnsiTheme="majorHAnsi" w:cstheme="majorBidi"/>
      <w:color w:val="58585A" w:themeColor="text2"/>
      <w:spacing w:val="-20"/>
      <w:w w:val="99"/>
      <w:kern w:val="28"/>
      <w:sz w:val="40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E058FF"/>
    <w:pPr>
      <w:numPr>
        <w:ilvl w:val="1"/>
      </w:numPr>
      <w:spacing w:before="160"/>
      <w:jc w:val="left"/>
    </w:pPr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E058FF"/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paragraph" w:customStyle="1" w:styleId="Notainterior">
    <w:name w:val="Nota interior"/>
    <w:basedOn w:val="Senseespaiat"/>
    <w:rsid w:val="00D243C5"/>
    <w:pPr>
      <w:spacing w:line="312" w:lineRule="auto"/>
    </w:pPr>
    <w:rPr>
      <w:rFonts w:asciiTheme="majorHAnsi" w:eastAsia="Times New Roman" w:hAnsiTheme="majorHAnsi" w:cs="Times New Roman"/>
      <w:sz w:val="24"/>
      <w:szCs w:val="20"/>
    </w:rPr>
  </w:style>
  <w:style w:type="paragraph" w:styleId="Textdebloc">
    <w:name w:val="Block Text"/>
    <w:basedOn w:val="Normal"/>
    <w:uiPriority w:val="99"/>
    <w:semiHidden/>
    <w:unhideWhenUsed/>
    <w:rsid w:val="00FB1A5B"/>
    <w:pPr>
      <w:pBdr>
        <w:top w:val="single" w:sz="2" w:space="14" w:color="58585A" w:themeColor="text2"/>
        <w:left w:val="single" w:sz="2" w:space="14" w:color="58585A" w:themeColor="text2"/>
        <w:bottom w:val="single" w:sz="2" w:space="14" w:color="58585A" w:themeColor="text2"/>
        <w:right w:val="single" w:sz="2" w:space="14" w:color="58585A" w:themeColor="text2"/>
      </w:pBdr>
      <w:shd w:val="clear" w:color="auto" w:fill="DDDDDE" w:themeFill="text2" w:themeFillTint="33"/>
      <w:ind w:left="284" w:right="284"/>
    </w:pPr>
    <w:rPr>
      <w:rFonts w:eastAsiaTheme="minorEastAsia"/>
      <w:i/>
      <w:iCs/>
      <w:color w:val="58585A" w:themeColor="text2"/>
    </w:rPr>
  </w:style>
  <w:style w:type="character" w:styleId="Enllavisitat">
    <w:name w:val="FollowedHyperlink"/>
    <w:basedOn w:val="Lletraperdefectedelpargraf"/>
    <w:uiPriority w:val="99"/>
    <w:semiHidden/>
    <w:unhideWhenUsed/>
    <w:rsid w:val="00FB1A5B"/>
    <w:rPr>
      <w:color w:val="2C2C2D" w:themeColor="text2" w:themeShade="80"/>
      <w:u w:val="single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FB1A5B"/>
    <w:pPr>
      <w:pBdr>
        <w:top w:val="single" w:sz="6" w:space="6" w:color="58585A" w:themeColor="text2"/>
        <w:left w:val="single" w:sz="6" w:space="6" w:color="58585A" w:themeColor="text2"/>
        <w:bottom w:val="single" w:sz="6" w:space="6" w:color="58585A" w:themeColor="text2"/>
        <w:right w:val="single" w:sz="6" w:space="6" w:color="58585A" w:themeColor="text2"/>
      </w:pBdr>
      <w:shd w:val="clear" w:color="auto" w:fill="DDDDDE" w:themeFill="text2" w:themeFillTint="33"/>
      <w:spacing w:after="0" w:line="240" w:lineRule="auto"/>
      <w:ind w:left="1247" w:right="113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uiPriority w:val="99"/>
    <w:semiHidden/>
    <w:rsid w:val="00FB1A5B"/>
    <w:rPr>
      <w:rFonts w:asciiTheme="majorHAnsi" w:eastAsiaTheme="majorEastAsia" w:hAnsiTheme="majorHAnsi" w:cstheme="majorBidi"/>
      <w:sz w:val="24"/>
      <w:szCs w:val="24"/>
      <w:shd w:val="clear" w:color="auto" w:fill="DDDDDE" w:themeFill="text2" w:themeFillTint="33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058FF"/>
    <w:pPr>
      <w:pBdr>
        <w:top w:val="single" w:sz="4" w:space="14" w:color="58585A" w:themeColor="text2"/>
        <w:left w:val="single" w:sz="4" w:space="14" w:color="58585A" w:themeColor="text2"/>
        <w:bottom w:val="single" w:sz="4" w:space="14" w:color="58585A" w:themeColor="text2"/>
        <w:right w:val="single" w:sz="4" w:space="14" w:color="58585A" w:themeColor="text2"/>
      </w:pBdr>
      <w:spacing w:before="360" w:after="360"/>
      <w:ind w:left="284" w:right="284"/>
    </w:pPr>
    <w:rPr>
      <w:i/>
      <w:iCs/>
      <w:color w:val="58585A" w:themeColor="text2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E058FF"/>
    <w:rPr>
      <w:i/>
      <w:iCs/>
      <w:color w:val="58585A" w:themeColor="text2"/>
      <w:sz w:val="21"/>
    </w:rPr>
  </w:style>
  <w:style w:type="paragraph" w:styleId="Cita">
    <w:name w:val="Quote"/>
    <w:basedOn w:val="Normal"/>
    <w:next w:val="Normal"/>
    <w:link w:val="CitaCar"/>
    <w:uiPriority w:val="29"/>
    <w:qFormat/>
    <w:rsid w:val="00E058FF"/>
    <w:pPr>
      <w:spacing w:before="200" w:after="160"/>
      <w:ind w:left="567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E058FF"/>
    <w:rPr>
      <w:i/>
      <w:iCs/>
      <w:color w:val="404040" w:themeColor="text1" w:themeTint="BF"/>
      <w:sz w:val="21"/>
    </w:rPr>
  </w:style>
  <w:style w:type="table" w:styleId="Taulaambquadrcula">
    <w:name w:val="Table Grid"/>
    <w:basedOn w:val="Taulanormal"/>
    <w:uiPriority w:val="39"/>
    <w:rsid w:val="00C2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Documents\Dropbox\Professional\2017_AMB\%23200317_COVID19\_Recursos\Plantilles\AgT-AMB_document.dotx" TargetMode="External"/></Relationships>
</file>

<file path=word/theme/theme1.xml><?xml version="1.0" encoding="utf-8"?>
<a:theme xmlns:a="http://schemas.openxmlformats.org/drawingml/2006/main" name="Tema de Office">
  <a:themeElements>
    <a:clrScheme name="AMB">
      <a:dk1>
        <a:sysClr val="windowText" lastClr="000000"/>
      </a:dk1>
      <a:lt1>
        <a:sysClr val="window" lastClr="FFFFFF"/>
      </a:lt1>
      <a:dk2>
        <a:srgbClr val="58585A"/>
      </a:dk2>
      <a:lt2>
        <a:srgbClr val="E6E6E6"/>
      </a:lt2>
      <a:accent1>
        <a:srgbClr val="E42313"/>
      </a:accent1>
      <a:accent2>
        <a:srgbClr val="A12786"/>
      </a:accent2>
      <a:accent3>
        <a:srgbClr val="008BCB"/>
      </a:accent3>
      <a:accent4>
        <a:srgbClr val="80BA26"/>
      </a:accent4>
      <a:accent5>
        <a:srgbClr val="FBBA00"/>
      </a:accent5>
      <a:accent6>
        <a:srgbClr val="EF7B0B"/>
      </a:accent6>
      <a:hlink>
        <a:srgbClr val="878789"/>
      </a:hlink>
      <a:folHlink>
        <a:srgbClr val="AA4C02"/>
      </a:folHlink>
    </a:clrScheme>
    <a:fontScheme name="AMB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3D91-1060-4949-848D-658AF316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AgT-AMB_document.dotx</Template>
  <TotalTime>47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7</vt:i4>
      </vt:variant>
      <vt:variant>
        <vt:lpstr>Título</vt:lpstr>
      </vt:variant>
      <vt:variant>
        <vt:i4>1</vt:i4>
      </vt:variant>
    </vt:vector>
  </HeadingPairs>
  <TitlesOfParts>
    <vt:vector size="9" baseType="lpstr">
      <vt:lpstr/>
      <vt:lpstr>5º encuentro de la Red de Oficinas y Agencias anticorrupción</vt:lpstr>
      <vt:lpstr>    Programa</vt:lpstr>
      <vt:lpstr>        Primera parte: Miembros de la Red</vt:lpstr>
      <vt:lpstr>        Segunda parte: Miembros de la red e invitados</vt:lpstr>
      <vt:lpstr>    Participantes</vt:lpstr>
      <vt:lpstr>        En representación de la Red de Oficinas y Agencias anticorrupción</vt:lpstr>
      <vt:lpstr>        Invitados</vt:lpstr>
      <vt:lpstr/>
    </vt:vector>
  </TitlesOfParts>
  <Company>AMB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 Cotxà Pagans</cp:lastModifiedBy>
  <cp:revision>8</cp:revision>
  <cp:lastPrinted>2017-01-30T11:04:00Z</cp:lastPrinted>
  <dcterms:created xsi:type="dcterms:W3CDTF">2020-06-16T11:17:00Z</dcterms:created>
  <dcterms:modified xsi:type="dcterms:W3CDTF">2020-06-16T13:04:00Z</dcterms:modified>
</cp:coreProperties>
</file>